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FE" w:rsidRDefault="00A44127">
      <w:pPr>
        <w:pStyle w:val="afa"/>
        <w:spacing w:line="238" w:lineRule="exact"/>
        <w:ind w:right="90"/>
        <w:jc w:val="center"/>
        <w:rPr>
          <w:b/>
          <w:bCs/>
          <w:color w:val="0C0C0C"/>
        </w:rPr>
      </w:pPr>
      <w:bookmarkStart w:id="0" w:name="_GoBack"/>
      <w:bookmarkEnd w:id="0"/>
      <w:r>
        <w:rPr>
          <w:b/>
          <w:bCs/>
        </w:rPr>
        <w:t xml:space="preserve">Рекомендации работодателям по включению в коллективные договоры мер поддержки работников, </w:t>
      </w:r>
      <w:r>
        <w:rPr>
          <w:b/>
          <w:bCs/>
        </w:rPr>
        <w:t xml:space="preserve">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w:t>
      </w:r>
      <w:r>
        <w:rPr>
          <w:b/>
          <w:bCs/>
        </w:rPr>
        <w:t>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Pr>
          <w:b/>
          <w:bCs/>
          <w:spacing w:val="80"/>
        </w:rPr>
        <w:t xml:space="preserve"> </w:t>
      </w:r>
      <w:r>
        <w:rPr>
          <w:b/>
          <w:bCs/>
          <w:color w:val="0C0C0C"/>
        </w:rPr>
        <w:t>а также</w:t>
      </w:r>
      <w:r>
        <w:rPr>
          <w:b/>
          <w:bCs/>
          <w:color w:val="0C0C0C"/>
          <w:spacing w:val="40"/>
        </w:rPr>
        <w:t xml:space="preserve"> </w:t>
      </w:r>
      <w:r>
        <w:rPr>
          <w:b/>
          <w:bCs/>
        </w:rPr>
        <w:t xml:space="preserve">членов </w:t>
      </w:r>
      <w:r>
        <w:rPr>
          <w:b/>
          <w:bCs/>
          <w:color w:val="151515"/>
        </w:rPr>
        <w:t xml:space="preserve">их </w:t>
      </w:r>
      <w:r>
        <w:rPr>
          <w:b/>
          <w:bCs/>
          <w:color w:val="0A0A0A"/>
        </w:rPr>
        <w:t>семей</w:t>
      </w:r>
    </w:p>
    <w:p w:rsidR="001A32FE" w:rsidRDefault="001A32FE">
      <w:pPr>
        <w:pStyle w:val="afa"/>
        <w:ind w:right="90"/>
        <w:jc w:val="center"/>
      </w:pPr>
    </w:p>
    <w:p w:rsidR="001A32FE" w:rsidRDefault="00A44127">
      <w:pPr>
        <w:pStyle w:val="afa"/>
        <w:spacing w:line="238" w:lineRule="exact"/>
        <w:ind w:right="90"/>
        <w:jc w:val="center"/>
        <w:rPr>
          <w:b/>
          <w:bCs/>
        </w:rPr>
      </w:pPr>
      <w:r>
        <w:rPr>
          <w:b/>
          <w:bCs/>
        </w:rPr>
        <w:t>I. Гарантии, установленные трудовым законодательством и и</w:t>
      </w:r>
      <w:r>
        <w:rPr>
          <w:b/>
          <w:bCs/>
        </w:rPr>
        <w:t>ными нормативными правовыми актами, содержащими нормы труда</w:t>
      </w:r>
    </w:p>
    <w:p w:rsidR="001A32FE" w:rsidRDefault="001A32FE">
      <w:pPr>
        <w:pStyle w:val="afa"/>
        <w:ind w:right="90" w:firstLine="709"/>
      </w:pPr>
    </w:p>
    <w:p w:rsidR="001A32FE" w:rsidRDefault="00A44127">
      <w:pPr>
        <w:pStyle w:val="afa"/>
        <w:ind w:right="90" w:firstLine="709"/>
        <w:rPr>
          <w:i/>
          <w:iCs/>
          <w:u w:val="single"/>
        </w:rPr>
      </w:pPr>
      <w:r>
        <w:rPr>
          <w:i/>
          <w:iCs/>
          <w:u w:val="single"/>
        </w:rPr>
        <w:t>1. Работникам, призванным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w:t>
      </w:r>
      <w:r>
        <w:rPr>
          <w:i/>
          <w:iCs/>
          <w:u w:val="single"/>
        </w:rPr>
        <w:t xml:space="preserve">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w:t>
      </w:r>
      <w:r>
        <w:rPr>
          <w:i/>
          <w:iCs/>
          <w:u w:val="single"/>
        </w:rPr>
        <w:t>соответственно – работник, военная служба):</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1.1. Действие трудового договора, заключенного между работником и работодателем, приостанавливается на период прохождения работником военной службы (часть 1 статьи 351.7 Трудового кодекса Российской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1</w:t>
      </w:r>
      <w:r>
        <w:t xml:space="preserve">.2. В период приостановления действия трудового договора за работником сохраняется место работы (должность) (часть 4 статьи 351.7 Трудового кодекса Российской Федерации). </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 xml:space="preserve">1.3. Работодатель не позднее дня приостановления действия трудового договора обязан </w:t>
      </w:r>
      <w:r>
        <w:t>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(часть 5 статьи 351.7 Трудового кодекса Российской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1.4. На период приостановления дейс</w:t>
      </w:r>
      <w:r>
        <w:t>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w:t>
      </w:r>
      <w:r>
        <w:t>ника, улучшение социально-бытовых условий работника и членов его семьи) (часть 6 статьи 351.7 Трудового кодекса Российской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1.5. Работодатель в период приостановления действия трудового договора вправе выплачивать работнику материальную помощь (</w:t>
      </w:r>
      <w:r>
        <w:t>часть 7 статьи 351.7 Трудового кодекса Российской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 xml:space="preserve">1.6. </w:t>
      </w:r>
      <w: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w:t>
      </w:r>
      <w:r>
        <w:lastRenderedPageBreak/>
        <w:t>отсут</w:t>
      </w:r>
      <w:r>
        <w:t>ствии оснований для прекращения срочного трудового договора,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 (часть 9 статьи 351.7 Трудового коде</w:t>
      </w:r>
      <w:r>
        <w:t>кса Российской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1.7. Работник в течение шести месяцев после возобновления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(часть 10</w:t>
      </w:r>
      <w:r>
        <w:t xml:space="preserve"> статьи 351.7 Трудового кодекса Российской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1.8.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w:t>
      </w:r>
      <w:r>
        <w:t>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(часть 11 статьи 351.7 Трудового кодекса Российской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 xml:space="preserve">1.9. </w:t>
      </w:r>
      <w:r>
        <w:t>Лицо, с которым в пе</w:t>
      </w:r>
      <w:r>
        <w:t>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имеет преимущественное право поступления на работу по ра</w:t>
      </w:r>
      <w:r>
        <w:t>нее занимаемой должности у работодателя, с которым указанное лицо состояло в трудовых отношениях до призыва на военную службу, в случае отсутствия вакансии по такой должности на другую вакантную должность или работу, соответствующую квалификации работника,</w:t>
      </w:r>
      <w:r>
        <w:t xml:space="preserve">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 (часть 13 статьи 351.7 Трудового</w:t>
      </w:r>
      <w:r>
        <w:t xml:space="preserve"> кодекса Российской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 xml:space="preserve">1.10. Граждане, которые с 24 февраля по 21 сентября 2022 года заключили в соответствии с пунктом 7 статьи 38 Федерального закона от 28 марта 1998 года N 53-ФЗ «О воинской обязанности и военной службе» контракт о прохождении </w:t>
      </w:r>
      <w:r>
        <w:t>военной службы либо контракт о добровольном содействии в выполнении задач, возложенных на Вооруженные Силы Российской Федерации, и с которыми в указанный период были расторгнуты трудовые договоры (служебные контракты), в течение трех месяцев после завершен</w:t>
      </w:r>
      <w:r>
        <w:t xml:space="preserve">ия прохождения военной службы по мобилизации или военной службы по контракту либо контракта о добровольном содействии в выполнении задач, возложенных на Вооруженные Силы Российской Федерации, имеют преимущественное право трудоустройства на работу (службу) </w:t>
      </w:r>
      <w:r>
        <w:t xml:space="preserve">по ранее занимаемой должности у работодателя (представителя нанимателя), с которым они состояли в трудовых </w:t>
      </w:r>
      <w:r>
        <w:lastRenderedPageBreak/>
        <w:t xml:space="preserve">(служебных) отношениях до заключения контракта о прохождении военной службы либо контракта о добровольном содействии в выполнении задач, возложенных </w:t>
      </w:r>
      <w:r>
        <w:t>на Вооруженные Силы Российской Федерации. В случае невозможности предоставления такой должности работодатель (представитель нанимателя) предлагает другую имеющуюся у него работу (службу), не противопоказанную указанным гражданам по состоянию здоровья (част</w:t>
      </w:r>
      <w:r>
        <w:t>ь 4 статьи 6 Федерального закона от 07 октября 2022  г. № 379-ФЗ «О внесении изменений в отдельные законодательные акты Российской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1.11. При равной производительности труда и квалификации предпочтение в оставлении на работе отдается работникам</w:t>
      </w:r>
      <w:r>
        <w:t>, исполняющим свои трудовые обязанности по трудовому договору, действие которого возобновлено в соответствии с частью девятой статьи 351.7 Трудового кодекса Российской Федерации (Федеральный закон от 25 апреля 2026 г. № 108-ФЗ «О внесении изменения в стать</w:t>
      </w:r>
      <w:r>
        <w:t>ю 179 Трудового кодекса Российской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rPr>
          <w:i/>
          <w:iCs/>
          <w:u w:val="single"/>
        </w:rPr>
      </w:pPr>
      <w:r>
        <w:rPr>
          <w:i/>
          <w:iCs/>
          <w:u w:val="single"/>
        </w:rPr>
        <w:t>2. Членам семей работников, призванных на военную службу:</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2.1. Работодатель обязан на основании письменного заявления работника предоставить отпуск без сохранения заработной платы:</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родителям, супругам и детям</w:t>
      </w:r>
      <w:r>
        <w:t>,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w:t>
      </w:r>
      <w:r>
        <w:t>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w:t>
      </w:r>
      <w:r>
        <w:t>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w:t>
      </w:r>
      <w:r>
        <w:t>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w:t>
      </w:r>
      <w:r>
        <w:t>ерации или войска национальной гвардии Российской Федерации, – до 14 календарных дней в году;</w:t>
      </w:r>
    </w:p>
    <w:p w:rsidR="001A32FE" w:rsidRDefault="00A44127">
      <w:pPr>
        <w:pStyle w:val="afa"/>
        <w:pBdr>
          <w:top w:val="none" w:sz="4" w:space="0" w:color="000000"/>
          <w:left w:val="none" w:sz="4" w:space="0" w:color="000000"/>
          <w:bottom w:val="none" w:sz="4" w:space="0" w:color="000000"/>
          <w:right w:val="none" w:sz="4" w:space="0" w:color="000000"/>
        </w:pBdr>
        <w:ind w:right="90" w:firstLine="709"/>
        <w:rPr>
          <w:color w:val="000000"/>
          <w:sz w:val="24"/>
          <w:szCs w:val="24"/>
        </w:rPr>
      </w:pPr>
      <w: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w:t>
      </w:r>
      <w:r>
        <w:t xml:space="preserve"> на Вооруженные Силы Российской Федерации или войска национальной гвардии Российской Федерации, сотрудников органов внутренних дел, федеральной </w:t>
      </w:r>
      <w:r>
        <w:lastRenderedPageBreak/>
        <w:t>противопожарной службы, таможенных органов, сотрудников учреждений и органов уголовно-исполнительной системы, ор</w:t>
      </w:r>
      <w:r>
        <w:t>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w:t>
      </w:r>
      <w:r>
        <w:t>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w:t>
      </w:r>
      <w:r>
        <w:t>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w:t>
      </w:r>
      <w:r>
        <w:t>ьными законами и иными нормативными правовыми актами Российской Федерации, – до 35 календарных дней в году (статья 128 Трудового кодекса Российской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 xml:space="preserve">2.2. </w:t>
      </w:r>
      <w:r>
        <w:t>При равной производительности труда и квалификации предпочтение в оставлении на работе отдается родителю, имеющему ребенка в возрасте до восемнадцати лет, в случае, если другой родитель призван на военную службу (часть 2 статьи 179 Трудового кодекса Россий</w:t>
      </w:r>
      <w:r>
        <w:t>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 xml:space="preserve">2.3. Направление в служебные командировки, привлечение к сверхурочной работе, работе в ночное время, выходные и нерабочие праздничные дни родителя, имеющего ребенка в возрасте до четырнадцати лет, в случае, если другой родитель призван на </w:t>
      </w:r>
      <w:r>
        <w:t>военную службу, допускаются только с его письменного согласия и при условии, что это не запрещено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w:t>
      </w:r>
      <w:r>
        <w:t>ии (статья 259 Трудового кодекса Российской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2.4. 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w:t>
      </w:r>
      <w:r>
        <w:t>ение одного года с момента гибели (смерти) ветерана боевых действий (статья 264.1 Трудового кодекса Российской Федерации).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 xml:space="preserve">2.5. Супругам военнослужащих отпуск по их желанию предоставляется одновременно с отпуском военнослужащих. При этом продолжительность </w:t>
      </w:r>
      <w:r>
        <w:t xml:space="preserve">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w:t>
      </w:r>
      <w:r>
        <w:lastRenderedPageBreak/>
        <w:t>сохранения з</w:t>
      </w:r>
      <w:r>
        <w:t>аработной платы (пункт 11 статьи 11 Федерального закона от 27 мая 1998 г. № 76-ФЗ «О статусе военнослужащих»).</w:t>
      </w:r>
    </w:p>
    <w:p w:rsidR="001A32FE" w:rsidRDefault="001A32FE">
      <w:pPr>
        <w:pStyle w:val="afa"/>
        <w:pBdr>
          <w:top w:val="none" w:sz="4" w:space="0" w:color="000000"/>
          <w:left w:val="none" w:sz="4" w:space="0" w:color="000000"/>
          <w:bottom w:val="none" w:sz="4" w:space="0" w:color="000000"/>
          <w:right w:val="none" w:sz="4" w:space="0" w:color="000000"/>
        </w:pBdr>
        <w:ind w:right="90" w:firstLine="709"/>
      </w:pPr>
    </w:p>
    <w:p w:rsidR="001A32FE" w:rsidRDefault="00A44127">
      <w:pPr>
        <w:pStyle w:val="afa"/>
        <w:spacing w:line="238" w:lineRule="exact"/>
        <w:ind w:right="90"/>
        <w:jc w:val="center"/>
        <w:rPr>
          <w:b/>
          <w:bCs/>
        </w:rPr>
      </w:pPr>
      <w:r>
        <w:rPr>
          <w:b/>
          <w:bCs/>
        </w:rPr>
        <w:t>II. Гарантии, устанавливаемые работодателем для работников и членов их семей (с учетом своих финансовых возможностей)</w:t>
      </w:r>
    </w:p>
    <w:p w:rsidR="001A32FE" w:rsidRDefault="001A32FE">
      <w:pPr>
        <w:pStyle w:val="afa"/>
        <w:ind w:right="90"/>
        <w:jc w:val="center"/>
      </w:pPr>
    </w:p>
    <w:p w:rsidR="001A32FE" w:rsidRDefault="00A44127">
      <w:pPr>
        <w:pStyle w:val="afa"/>
        <w:pBdr>
          <w:top w:val="none" w:sz="4" w:space="0" w:color="000000"/>
          <w:left w:val="none" w:sz="4" w:space="0" w:color="000000"/>
          <w:bottom w:val="none" w:sz="4" w:space="0" w:color="000000"/>
          <w:right w:val="none" w:sz="4" w:space="0" w:color="000000"/>
        </w:pBdr>
        <w:ind w:right="90" w:firstLine="709"/>
        <w:rPr>
          <w:i/>
          <w:iCs/>
          <w:u w:val="single"/>
        </w:rPr>
      </w:pPr>
      <w:r>
        <w:t>1</w:t>
      </w:r>
      <w:r>
        <w:rPr>
          <w:i/>
          <w:iCs/>
          <w:u w:val="single"/>
        </w:rPr>
        <w:t>. Для работников после в</w:t>
      </w:r>
      <w:r>
        <w:rPr>
          <w:i/>
          <w:iCs/>
          <w:u w:val="single"/>
        </w:rPr>
        <w:t>озобновления их трудовой деятельности: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преимущественное право на оставление на работе при проведении мероприятий по сокращению численности или штата;</w:t>
      </w:r>
    </w:p>
    <w:p w:rsidR="001A32FE" w:rsidRDefault="00A44127">
      <w:pPr>
        <w:pStyle w:val="afa"/>
        <w:pBdr>
          <w:top w:val="none" w:sz="4" w:space="0" w:color="000000"/>
          <w:left w:val="none" w:sz="4" w:space="0" w:color="000000"/>
          <w:bottom w:val="none" w:sz="4" w:space="0" w:color="000000"/>
          <w:right w:val="none" w:sz="4" w:space="0" w:color="000000"/>
        </w:pBdr>
        <w:ind w:right="90" w:firstLine="709"/>
        <w:rPr>
          <w:sz w:val="27"/>
        </w:rPr>
      </w:pPr>
      <w:r>
        <w:t>преимущественное право на обучение либо переобучение новой профессии;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 xml:space="preserve">оказание </w:t>
      </w:r>
      <w:r>
        <w:t xml:space="preserve">медицинской, </w:t>
      </w:r>
      <w:r>
        <w:t>психологической помощи, преимущественное право на санаторно-курортное лечение (с частичной или полной компенсацией оплаты);</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заключение договоров о страховании жизни и здоровья;</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оказание юридической помощи;</w:t>
      </w:r>
    </w:p>
    <w:p w:rsidR="001A32FE" w:rsidRDefault="00A44127">
      <w:pPr>
        <w:pStyle w:val="afa"/>
        <w:pBdr>
          <w:top w:val="none" w:sz="4" w:space="0" w:color="000000"/>
          <w:left w:val="none" w:sz="4" w:space="0" w:color="000000"/>
          <w:bottom w:val="none" w:sz="4" w:space="0" w:color="000000"/>
          <w:right w:val="none" w:sz="4" w:space="0" w:color="000000"/>
        </w:pBdr>
        <w:ind w:right="90" w:firstLine="709"/>
        <w:rPr>
          <w:sz w:val="27"/>
        </w:rPr>
      </w:pPr>
      <w:r>
        <w:t>оказание материальной помощи, предоставление разли</w:t>
      </w:r>
      <w:r>
        <w:t>чных видов единовременных и дополнительных выплат, в том числе при ранении;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rPr>
          <w:sz w:val="27"/>
        </w:rPr>
      </w:pPr>
      <w:r>
        <w:t>сохранение средней заработной платы в случае перевода на другую нижеоплачиваемую работу в соответствии с медицинским заключением;</w:t>
      </w:r>
    </w:p>
    <w:p w:rsidR="001A32FE" w:rsidRDefault="00A44127">
      <w:pPr>
        <w:pStyle w:val="afa"/>
        <w:pBdr>
          <w:top w:val="none" w:sz="4" w:space="0" w:color="000000"/>
          <w:left w:val="none" w:sz="4" w:space="0" w:color="000000"/>
          <w:bottom w:val="none" w:sz="4" w:space="0" w:color="000000"/>
          <w:right w:val="none" w:sz="4" w:space="0" w:color="000000"/>
        </w:pBdr>
        <w:ind w:right="90" w:firstLine="709"/>
        <w:rPr>
          <w:sz w:val="27"/>
        </w:rPr>
      </w:pPr>
      <w:r>
        <w:t>установление дистанционной (удаленной) работы, гиб</w:t>
      </w:r>
      <w:r>
        <w:t>ких форм занятости;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rPr>
          <w:noProof/>
          <w:lang w:eastAsia="ru-RU"/>
        </w:rPr>
        <mc:AlternateContent>
          <mc:Choice Requires="wpg">
            <w:drawing>
              <wp:anchor distT="0" distB="0" distL="0" distR="0" simplePos="0" relativeHeight="15729664" behindDoc="0" locked="0" layoutInCell="1" allowOverlap="1">
                <wp:simplePos x="0" y="0"/>
                <wp:positionH relativeFrom="page">
                  <wp:posOffset>7278623</wp:posOffset>
                </wp:positionH>
                <wp:positionV relativeFrom="paragraph">
                  <wp:posOffset>469363</wp:posOffset>
                </wp:positionV>
                <wp:extent cx="36575" cy="5785103"/>
                <wp:effectExtent l="0" t="0" r="0" b="0"/>
                <wp:wrapNone/>
                <wp:docPr id="1" name="Image 28"/>
                <wp:cNvGraphicFramePr/>
                <a:graphic xmlns:a="http://schemas.openxmlformats.org/drawingml/2006/main">
                  <a:graphicData uri="http://schemas.openxmlformats.org/drawingml/2006/picture">
                    <pic:pic xmlns:pic="http://schemas.openxmlformats.org/drawingml/2006/picture">
                      <pic:nvPicPr>
                        <pic:cNvPr id="1493893912" name="Image 28"/>
                        <pic:cNvPicPr/>
                      </pic:nvPicPr>
                      <pic:blipFill>
                        <a:blip r:embed="rId8"/>
                        <a:stretch/>
                      </pic:blipFill>
                      <pic:spPr bwMode="auto">
                        <a:xfrm>
                          <a:off x="0" y="0"/>
                          <a:ext cx="36574" cy="5785102"/>
                        </a:xfrm>
                        <a:prstGeom prst="rect">
                          <a:avLst/>
                        </a:prstGeom>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15729664;o:allowoverlap:true;o:allowincell:true;mso-position-horizontal-relative:page;margin-left:573.12pt;mso-position-horizontal:absolute;mso-position-vertical-relative:text;margin-top:36.96pt;mso-position-vertical:absolute;width:2.88pt;height:455.52pt;mso-wrap-distance-left:0.00pt;mso-wrap-distance-top:0.00pt;mso-wrap-distance-right:0.00pt;mso-wrap-distance-bottom:0.00pt;" stroked="false">
                <v:path textboxrect="0,0,0,0"/>
                <v:imagedata r:id="rId12" o:title=""/>
              </v:shape>
            </w:pict>
          </mc:Fallback>
        </mc:AlternateContent>
      </w:r>
      <w:r>
        <w:t>создание специальных условий, обеспечивающих доступность рабочего места;</w:t>
      </w:r>
    </w:p>
    <w:p w:rsidR="001A32FE" w:rsidRDefault="00A44127">
      <w:pPr>
        <w:pStyle w:val="afa"/>
        <w:pBdr>
          <w:top w:val="none" w:sz="4" w:space="0" w:color="000000"/>
          <w:left w:val="none" w:sz="4" w:space="0" w:color="000000"/>
          <w:bottom w:val="none" w:sz="4" w:space="0" w:color="000000"/>
          <w:right w:val="none" w:sz="4" w:space="0" w:color="000000"/>
        </w:pBdr>
        <w:ind w:right="90" w:firstLine="709"/>
        <w:rPr>
          <w:sz w:val="27"/>
        </w:rPr>
      </w:pPr>
      <w:r>
        <w:t>предоставление транспорта для доставки к месту работы и к месту жительства, в медицинские организации, социальные службы;</w:t>
      </w:r>
    </w:p>
    <w:p w:rsidR="001A32FE" w:rsidRDefault="00A44127">
      <w:pPr>
        <w:pStyle w:val="afa"/>
        <w:pBdr>
          <w:top w:val="none" w:sz="4" w:space="0" w:color="000000"/>
          <w:left w:val="none" w:sz="4" w:space="0" w:color="000000"/>
          <w:bottom w:val="none" w:sz="4" w:space="0" w:color="000000"/>
          <w:right w:val="none" w:sz="4" w:space="0" w:color="000000"/>
        </w:pBdr>
        <w:ind w:right="90" w:firstLine="709"/>
        <w:rPr>
          <w:sz w:val="27"/>
        </w:rPr>
      </w:pPr>
      <w:r>
        <w:t>предоставление возможности посещения мед</w:t>
      </w:r>
      <w:r>
        <w:t>ицинских организаций, социальных служб в рабочее время с сохранением заработной платы.</w:t>
      </w:r>
    </w:p>
    <w:p w:rsidR="001A32FE" w:rsidRDefault="00A44127">
      <w:pPr>
        <w:pStyle w:val="afa"/>
        <w:pBdr>
          <w:top w:val="none" w:sz="4" w:space="0" w:color="000000"/>
          <w:left w:val="none" w:sz="4" w:space="0" w:color="000000"/>
          <w:bottom w:val="none" w:sz="4" w:space="0" w:color="000000"/>
          <w:right w:val="none" w:sz="4" w:space="0" w:color="000000"/>
        </w:pBdr>
        <w:ind w:right="90" w:firstLine="709"/>
        <w:rPr>
          <w:i/>
          <w:iCs/>
          <w:u w:val="single"/>
        </w:rPr>
      </w:pPr>
      <w:r>
        <w:rPr>
          <w:i/>
          <w:iCs/>
          <w:u w:val="single"/>
        </w:rPr>
        <w:t>2. Для членов семей работников:</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оказание материальной помощи (в том числе при мобилизации, ранении, гибели работника);</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оказание психологической и юридической помощи;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приобретение (полностью или частично) путевок на санаторно-курортное лечение;</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компенсация (частичная или полная) расходов на оплату жилищно- коммунальных услуг, взносов на капитальный ремонт общего имущества в многоквартирном доме;</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заключение договоров о д</w:t>
      </w:r>
      <w:r>
        <w:t>обровольном медицинском страховании;</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предоставление ежегодного оплачиваемого отпуска в удобное время;</w:t>
      </w:r>
    </w:p>
    <w:p w:rsidR="001A32FE" w:rsidRDefault="00A44127">
      <w:pPr>
        <w:pStyle w:val="afa"/>
        <w:pBdr>
          <w:top w:val="none" w:sz="4" w:space="0" w:color="000000"/>
          <w:left w:val="none" w:sz="4" w:space="0" w:color="000000"/>
          <w:bottom w:val="none" w:sz="4" w:space="0" w:color="000000"/>
          <w:right w:val="none" w:sz="4" w:space="0" w:color="000000"/>
        </w:pBdr>
        <w:ind w:right="90" w:firstLine="709"/>
      </w:pPr>
      <w:r>
        <w:t>установление неполного рабочего времени (рабочей недели или рабочего дня).</w:t>
      </w:r>
    </w:p>
    <w:sectPr w:rsidR="001A32FE">
      <w:headerReference w:type="default" r:id="rId13"/>
      <w:headerReference w:type="first" r:id="rId14"/>
      <w:footerReference w:type="first" r:id="rId15"/>
      <w:pgSz w:w="11570" w:h="16490"/>
      <w:pgMar w:top="1134" w:right="567" w:bottom="1134" w:left="1984" w:header="709" w:footer="709"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127" w:rsidRDefault="00A44127">
      <w:r>
        <w:separator/>
      </w:r>
    </w:p>
  </w:endnote>
  <w:endnote w:type="continuationSeparator" w:id="0">
    <w:p w:rsidR="00A44127" w:rsidRDefault="00A4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FE" w:rsidRDefault="001A32F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127" w:rsidRDefault="00A44127">
      <w:r>
        <w:separator/>
      </w:r>
    </w:p>
  </w:footnote>
  <w:footnote w:type="continuationSeparator" w:id="0">
    <w:p w:rsidR="00A44127" w:rsidRDefault="00A4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FE" w:rsidRDefault="00A44127">
    <w:pPr>
      <w:pStyle w:val="aa"/>
      <w:jc w:val="right"/>
      <w:rPr>
        <w:sz w:val="28"/>
        <w:szCs w:val="28"/>
      </w:rPr>
    </w:pPr>
    <w:r>
      <w:fldChar w:fldCharType="begin"/>
    </w:r>
    <w:r>
      <w:instrText>PAGE \*</w:instrText>
    </w:r>
    <w:r>
      <w:instrText xml:space="preserve"> MERGEFORMAT</w:instrText>
    </w:r>
    <w:r>
      <w:fldChar w:fldCharType="separate"/>
    </w:r>
    <w:r w:rsidR="009D13E8" w:rsidRPr="009D13E8">
      <w:rPr>
        <w:noProof/>
        <w:sz w:val="28"/>
        <w:szCs w:val="28"/>
      </w:rPr>
      <w:t>2</w:t>
    </w:r>
    <w:r>
      <w:rPr>
        <w:sz w:val="28"/>
        <w:szCs w:val="28"/>
      </w:rPr>
      <w:fldChar w:fldCharType="end"/>
    </w:r>
  </w:p>
  <w:p w:rsidR="001A32FE" w:rsidRDefault="001A32F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FE" w:rsidRDefault="001A32F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1A6D"/>
    <w:multiLevelType w:val="hybridMultilevel"/>
    <w:tmpl w:val="1270CD22"/>
    <w:lvl w:ilvl="0" w:tplc="386C0F00">
      <w:start w:val="1"/>
      <w:numFmt w:val="decimal"/>
      <w:lvlText w:val="%1)"/>
      <w:lvlJc w:val="left"/>
      <w:pPr>
        <w:ind w:left="819" w:hanging="564"/>
        <w:jc w:val="left"/>
      </w:pPr>
      <w:rPr>
        <w:rFonts w:hint="default"/>
        <w:spacing w:val="0"/>
        <w:lang w:val="ru-RU" w:eastAsia="en-US" w:bidi="ar-SA"/>
      </w:rPr>
    </w:lvl>
    <w:lvl w:ilvl="1" w:tplc="D01A2A9E">
      <w:numFmt w:val="bullet"/>
      <w:lvlText w:val="•"/>
      <w:lvlJc w:val="left"/>
      <w:pPr>
        <w:ind w:left="1823" w:hanging="564"/>
      </w:pPr>
      <w:rPr>
        <w:rFonts w:hint="default"/>
        <w:lang w:val="ru-RU" w:eastAsia="en-US" w:bidi="ar-SA"/>
      </w:rPr>
    </w:lvl>
    <w:lvl w:ilvl="2" w:tplc="6F325ED0">
      <w:numFmt w:val="bullet"/>
      <w:lvlText w:val="•"/>
      <w:lvlJc w:val="left"/>
      <w:pPr>
        <w:ind w:left="2827" w:hanging="564"/>
      </w:pPr>
      <w:rPr>
        <w:rFonts w:hint="default"/>
        <w:lang w:val="ru-RU" w:eastAsia="en-US" w:bidi="ar-SA"/>
      </w:rPr>
    </w:lvl>
    <w:lvl w:ilvl="3" w:tplc="AA88D252">
      <w:numFmt w:val="bullet"/>
      <w:lvlText w:val="•"/>
      <w:lvlJc w:val="left"/>
      <w:pPr>
        <w:ind w:left="3830" w:hanging="564"/>
      </w:pPr>
      <w:rPr>
        <w:rFonts w:hint="default"/>
        <w:lang w:val="ru-RU" w:eastAsia="en-US" w:bidi="ar-SA"/>
      </w:rPr>
    </w:lvl>
    <w:lvl w:ilvl="4" w:tplc="48B25514">
      <w:numFmt w:val="bullet"/>
      <w:lvlText w:val="•"/>
      <w:lvlJc w:val="left"/>
      <w:pPr>
        <w:ind w:left="4834" w:hanging="564"/>
      </w:pPr>
      <w:rPr>
        <w:rFonts w:hint="default"/>
        <w:lang w:val="ru-RU" w:eastAsia="en-US" w:bidi="ar-SA"/>
      </w:rPr>
    </w:lvl>
    <w:lvl w:ilvl="5" w:tplc="5E2E93A8">
      <w:numFmt w:val="bullet"/>
      <w:lvlText w:val="•"/>
      <w:lvlJc w:val="left"/>
      <w:pPr>
        <w:ind w:left="5837" w:hanging="564"/>
      </w:pPr>
      <w:rPr>
        <w:rFonts w:hint="default"/>
        <w:lang w:val="ru-RU" w:eastAsia="en-US" w:bidi="ar-SA"/>
      </w:rPr>
    </w:lvl>
    <w:lvl w:ilvl="6" w:tplc="059C805C">
      <w:numFmt w:val="bullet"/>
      <w:lvlText w:val="•"/>
      <w:lvlJc w:val="left"/>
      <w:pPr>
        <w:ind w:left="6841" w:hanging="564"/>
      </w:pPr>
      <w:rPr>
        <w:rFonts w:hint="default"/>
        <w:lang w:val="ru-RU" w:eastAsia="en-US" w:bidi="ar-SA"/>
      </w:rPr>
    </w:lvl>
    <w:lvl w:ilvl="7" w:tplc="DA3A6EB8">
      <w:numFmt w:val="bullet"/>
      <w:lvlText w:val="•"/>
      <w:lvlJc w:val="left"/>
      <w:pPr>
        <w:ind w:left="7844" w:hanging="564"/>
      </w:pPr>
      <w:rPr>
        <w:rFonts w:hint="default"/>
        <w:lang w:val="ru-RU" w:eastAsia="en-US" w:bidi="ar-SA"/>
      </w:rPr>
    </w:lvl>
    <w:lvl w:ilvl="8" w:tplc="FFF859A6">
      <w:numFmt w:val="bullet"/>
      <w:lvlText w:val="•"/>
      <w:lvlJc w:val="left"/>
      <w:pPr>
        <w:ind w:left="8848" w:hanging="564"/>
      </w:pPr>
      <w:rPr>
        <w:rFonts w:hint="default"/>
        <w:lang w:val="ru-RU" w:eastAsia="en-US" w:bidi="ar-SA"/>
      </w:rPr>
    </w:lvl>
  </w:abstractNum>
  <w:abstractNum w:abstractNumId="1">
    <w:nsid w:val="22472909"/>
    <w:multiLevelType w:val="multilevel"/>
    <w:tmpl w:val="62EEE12A"/>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nsid w:val="256129B8"/>
    <w:multiLevelType w:val="hybridMultilevel"/>
    <w:tmpl w:val="429EFAF0"/>
    <w:lvl w:ilvl="0" w:tplc="7480B2DA">
      <w:start w:val="1"/>
      <w:numFmt w:val="decimal"/>
      <w:lvlText w:val="%1)"/>
      <w:lvlJc w:val="left"/>
      <w:pPr>
        <w:ind w:left="716" w:hanging="569"/>
        <w:jc w:val="right"/>
      </w:pPr>
      <w:rPr>
        <w:rFonts w:hint="default"/>
        <w:spacing w:val="0"/>
        <w:lang w:val="ru-RU" w:eastAsia="en-US" w:bidi="ar-SA"/>
      </w:rPr>
    </w:lvl>
    <w:lvl w:ilvl="1" w:tplc="C90C4426">
      <w:numFmt w:val="bullet"/>
      <w:lvlText w:val="•"/>
      <w:lvlJc w:val="left"/>
      <w:pPr>
        <w:ind w:left="1733" w:hanging="569"/>
      </w:pPr>
      <w:rPr>
        <w:rFonts w:hint="default"/>
        <w:lang w:val="ru-RU" w:eastAsia="en-US" w:bidi="ar-SA"/>
      </w:rPr>
    </w:lvl>
    <w:lvl w:ilvl="2" w:tplc="B7302CC2">
      <w:numFmt w:val="bullet"/>
      <w:lvlText w:val="•"/>
      <w:lvlJc w:val="left"/>
      <w:pPr>
        <w:ind w:left="2747" w:hanging="569"/>
      </w:pPr>
      <w:rPr>
        <w:rFonts w:hint="default"/>
        <w:lang w:val="ru-RU" w:eastAsia="en-US" w:bidi="ar-SA"/>
      </w:rPr>
    </w:lvl>
    <w:lvl w:ilvl="3" w:tplc="890C3056">
      <w:numFmt w:val="bullet"/>
      <w:lvlText w:val="•"/>
      <w:lvlJc w:val="left"/>
      <w:pPr>
        <w:ind w:left="3760" w:hanging="569"/>
      </w:pPr>
      <w:rPr>
        <w:rFonts w:hint="default"/>
        <w:lang w:val="ru-RU" w:eastAsia="en-US" w:bidi="ar-SA"/>
      </w:rPr>
    </w:lvl>
    <w:lvl w:ilvl="4" w:tplc="B0228990">
      <w:numFmt w:val="bullet"/>
      <w:lvlText w:val="•"/>
      <w:lvlJc w:val="left"/>
      <w:pPr>
        <w:ind w:left="4774" w:hanging="569"/>
      </w:pPr>
      <w:rPr>
        <w:rFonts w:hint="default"/>
        <w:lang w:val="ru-RU" w:eastAsia="en-US" w:bidi="ar-SA"/>
      </w:rPr>
    </w:lvl>
    <w:lvl w:ilvl="5" w:tplc="DAB4AA62">
      <w:numFmt w:val="bullet"/>
      <w:lvlText w:val="•"/>
      <w:lvlJc w:val="left"/>
      <w:pPr>
        <w:ind w:left="5787" w:hanging="569"/>
      </w:pPr>
      <w:rPr>
        <w:rFonts w:hint="default"/>
        <w:lang w:val="ru-RU" w:eastAsia="en-US" w:bidi="ar-SA"/>
      </w:rPr>
    </w:lvl>
    <w:lvl w:ilvl="6" w:tplc="EF24B892">
      <w:numFmt w:val="bullet"/>
      <w:lvlText w:val="•"/>
      <w:lvlJc w:val="left"/>
      <w:pPr>
        <w:ind w:left="6801" w:hanging="569"/>
      </w:pPr>
      <w:rPr>
        <w:rFonts w:hint="default"/>
        <w:lang w:val="ru-RU" w:eastAsia="en-US" w:bidi="ar-SA"/>
      </w:rPr>
    </w:lvl>
    <w:lvl w:ilvl="7" w:tplc="5D783A4C">
      <w:numFmt w:val="bullet"/>
      <w:lvlText w:val="•"/>
      <w:lvlJc w:val="left"/>
      <w:pPr>
        <w:ind w:left="7814" w:hanging="569"/>
      </w:pPr>
      <w:rPr>
        <w:rFonts w:hint="default"/>
        <w:lang w:val="ru-RU" w:eastAsia="en-US" w:bidi="ar-SA"/>
      </w:rPr>
    </w:lvl>
    <w:lvl w:ilvl="8" w:tplc="05F2682C">
      <w:numFmt w:val="bullet"/>
      <w:lvlText w:val="•"/>
      <w:lvlJc w:val="left"/>
      <w:pPr>
        <w:ind w:left="8828" w:hanging="569"/>
      </w:pPr>
      <w:rPr>
        <w:rFonts w:hint="default"/>
        <w:lang w:val="ru-RU" w:eastAsia="en-US" w:bidi="ar-SA"/>
      </w:rPr>
    </w:lvl>
  </w:abstractNum>
  <w:abstractNum w:abstractNumId="3">
    <w:nsid w:val="2DA67C1C"/>
    <w:multiLevelType w:val="hybridMultilevel"/>
    <w:tmpl w:val="44FE32E6"/>
    <w:lvl w:ilvl="0" w:tplc="2DB01D2C">
      <w:start w:val="1"/>
      <w:numFmt w:val="decimal"/>
      <w:lvlText w:val="%1."/>
      <w:lvlJc w:val="left"/>
      <w:pPr>
        <w:ind w:left="823" w:hanging="281"/>
        <w:jc w:val="left"/>
      </w:pPr>
      <w:rPr>
        <w:rFonts w:hint="default"/>
        <w:spacing w:val="0"/>
        <w:lang w:val="ru-RU" w:eastAsia="en-US" w:bidi="ar-SA"/>
      </w:rPr>
    </w:lvl>
    <w:lvl w:ilvl="1" w:tplc="A6D6E7A6">
      <w:numFmt w:val="bullet"/>
      <w:lvlText w:val="•"/>
      <w:lvlJc w:val="left"/>
      <w:pPr>
        <w:ind w:left="1823" w:hanging="281"/>
      </w:pPr>
      <w:rPr>
        <w:rFonts w:hint="default"/>
        <w:lang w:val="ru-RU" w:eastAsia="en-US" w:bidi="ar-SA"/>
      </w:rPr>
    </w:lvl>
    <w:lvl w:ilvl="2" w:tplc="82DA58F8">
      <w:numFmt w:val="bullet"/>
      <w:lvlText w:val="•"/>
      <w:lvlJc w:val="left"/>
      <w:pPr>
        <w:ind w:left="2827" w:hanging="281"/>
      </w:pPr>
      <w:rPr>
        <w:rFonts w:hint="default"/>
        <w:lang w:val="ru-RU" w:eastAsia="en-US" w:bidi="ar-SA"/>
      </w:rPr>
    </w:lvl>
    <w:lvl w:ilvl="3" w:tplc="983A5238">
      <w:numFmt w:val="bullet"/>
      <w:lvlText w:val="•"/>
      <w:lvlJc w:val="left"/>
      <w:pPr>
        <w:ind w:left="3830" w:hanging="281"/>
      </w:pPr>
      <w:rPr>
        <w:rFonts w:hint="default"/>
        <w:lang w:val="ru-RU" w:eastAsia="en-US" w:bidi="ar-SA"/>
      </w:rPr>
    </w:lvl>
    <w:lvl w:ilvl="4" w:tplc="7DE89438">
      <w:numFmt w:val="bullet"/>
      <w:lvlText w:val="•"/>
      <w:lvlJc w:val="left"/>
      <w:pPr>
        <w:ind w:left="4834" w:hanging="281"/>
      </w:pPr>
      <w:rPr>
        <w:rFonts w:hint="default"/>
        <w:lang w:val="ru-RU" w:eastAsia="en-US" w:bidi="ar-SA"/>
      </w:rPr>
    </w:lvl>
    <w:lvl w:ilvl="5" w:tplc="C794FF7E">
      <w:numFmt w:val="bullet"/>
      <w:lvlText w:val="•"/>
      <w:lvlJc w:val="left"/>
      <w:pPr>
        <w:ind w:left="5837" w:hanging="281"/>
      </w:pPr>
      <w:rPr>
        <w:rFonts w:hint="default"/>
        <w:lang w:val="ru-RU" w:eastAsia="en-US" w:bidi="ar-SA"/>
      </w:rPr>
    </w:lvl>
    <w:lvl w:ilvl="6" w:tplc="3DAECA6C">
      <w:numFmt w:val="bullet"/>
      <w:lvlText w:val="•"/>
      <w:lvlJc w:val="left"/>
      <w:pPr>
        <w:ind w:left="6841" w:hanging="281"/>
      </w:pPr>
      <w:rPr>
        <w:rFonts w:hint="default"/>
        <w:lang w:val="ru-RU" w:eastAsia="en-US" w:bidi="ar-SA"/>
      </w:rPr>
    </w:lvl>
    <w:lvl w:ilvl="7" w:tplc="47282318">
      <w:numFmt w:val="bullet"/>
      <w:lvlText w:val="•"/>
      <w:lvlJc w:val="left"/>
      <w:pPr>
        <w:ind w:left="7844" w:hanging="281"/>
      </w:pPr>
      <w:rPr>
        <w:rFonts w:hint="default"/>
        <w:lang w:val="ru-RU" w:eastAsia="en-US" w:bidi="ar-SA"/>
      </w:rPr>
    </w:lvl>
    <w:lvl w:ilvl="8" w:tplc="CD385D64">
      <w:numFmt w:val="bullet"/>
      <w:lvlText w:val="•"/>
      <w:lvlJc w:val="left"/>
      <w:pPr>
        <w:ind w:left="8848" w:hanging="281"/>
      </w:pPr>
      <w:rPr>
        <w:rFonts w:hint="default"/>
        <w:lang w:val="ru-RU" w:eastAsia="en-US" w:bidi="ar-SA"/>
      </w:rPr>
    </w:lvl>
  </w:abstractNum>
  <w:abstractNum w:abstractNumId="4">
    <w:nsid w:val="33201791"/>
    <w:multiLevelType w:val="hybridMultilevel"/>
    <w:tmpl w:val="81FAC7DC"/>
    <w:lvl w:ilvl="0" w:tplc="C7BACC2E">
      <w:start w:val="1"/>
      <w:numFmt w:val="decimal"/>
      <w:lvlText w:val="%1)"/>
      <w:lvlJc w:val="left"/>
      <w:pPr>
        <w:ind w:left="811" w:hanging="708"/>
        <w:jc w:val="right"/>
      </w:pPr>
      <w:rPr>
        <w:rFonts w:hint="default"/>
        <w:spacing w:val="0"/>
        <w:lang w:val="ru-RU" w:eastAsia="en-US" w:bidi="ar-SA"/>
      </w:rPr>
    </w:lvl>
    <w:lvl w:ilvl="1" w:tplc="A1A48324">
      <w:numFmt w:val="bullet"/>
      <w:lvlText w:val="•"/>
      <w:lvlJc w:val="left"/>
      <w:pPr>
        <w:ind w:left="1823" w:hanging="708"/>
      </w:pPr>
      <w:rPr>
        <w:rFonts w:hint="default"/>
        <w:lang w:val="ru-RU" w:eastAsia="en-US" w:bidi="ar-SA"/>
      </w:rPr>
    </w:lvl>
    <w:lvl w:ilvl="2" w:tplc="619292F8">
      <w:numFmt w:val="bullet"/>
      <w:lvlText w:val="•"/>
      <w:lvlJc w:val="left"/>
      <w:pPr>
        <w:ind w:left="2827" w:hanging="708"/>
      </w:pPr>
      <w:rPr>
        <w:rFonts w:hint="default"/>
        <w:lang w:val="ru-RU" w:eastAsia="en-US" w:bidi="ar-SA"/>
      </w:rPr>
    </w:lvl>
    <w:lvl w:ilvl="3" w:tplc="9EE2EB38">
      <w:numFmt w:val="bullet"/>
      <w:lvlText w:val="•"/>
      <w:lvlJc w:val="left"/>
      <w:pPr>
        <w:ind w:left="3830" w:hanging="708"/>
      </w:pPr>
      <w:rPr>
        <w:rFonts w:hint="default"/>
        <w:lang w:val="ru-RU" w:eastAsia="en-US" w:bidi="ar-SA"/>
      </w:rPr>
    </w:lvl>
    <w:lvl w:ilvl="4" w:tplc="4C886CB2">
      <w:numFmt w:val="bullet"/>
      <w:lvlText w:val="•"/>
      <w:lvlJc w:val="left"/>
      <w:pPr>
        <w:ind w:left="4834" w:hanging="708"/>
      </w:pPr>
      <w:rPr>
        <w:rFonts w:hint="default"/>
        <w:lang w:val="ru-RU" w:eastAsia="en-US" w:bidi="ar-SA"/>
      </w:rPr>
    </w:lvl>
    <w:lvl w:ilvl="5" w:tplc="7DFA70DA">
      <w:numFmt w:val="bullet"/>
      <w:lvlText w:val="•"/>
      <w:lvlJc w:val="left"/>
      <w:pPr>
        <w:ind w:left="5837" w:hanging="708"/>
      </w:pPr>
      <w:rPr>
        <w:rFonts w:hint="default"/>
        <w:lang w:val="ru-RU" w:eastAsia="en-US" w:bidi="ar-SA"/>
      </w:rPr>
    </w:lvl>
    <w:lvl w:ilvl="6" w:tplc="B6AEE6D6">
      <w:numFmt w:val="bullet"/>
      <w:lvlText w:val="•"/>
      <w:lvlJc w:val="left"/>
      <w:pPr>
        <w:ind w:left="6841" w:hanging="708"/>
      </w:pPr>
      <w:rPr>
        <w:rFonts w:hint="default"/>
        <w:lang w:val="ru-RU" w:eastAsia="en-US" w:bidi="ar-SA"/>
      </w:rPr>
    </w:lvl>
    <w:lvl w:ilvl="7" w:tplc="34528F4E">
      <w:numFmt w:val="bullet"/>
      <w:lvlText w:val="•"/>
      <w:lvlJc w:val="left"/>
      <w:pPr>
        <w:ind w:left="7844" w:hanging="708"/>
      </w:pPr>
      <w:rPr>
        <w:rFonts w:hint="default"/>
        <w:lang w:val="ru-RU" w:eastAsia="en-US" w:bidi="ar-SA"/>
      </w:rPr>
    </w:lvl>
    <w:lvl w:ilvl="8" w:tplc="3D322AF6">
      <w:numFmt w:val="bullet"/>
      <w:lvlText w:val="•"/>
      <w:lvlJc w:val="left"/>
      <w:pPr>
        <w:ind w:left="8848" w:hanging="708"/>
      </w:pPr>
      <w:rPr>
        <w:rFonts w:hint="default"/>
        <w:lang w:val="ru-RU" w:eastAsia="en-US" w:bidi="ar-SA"/>
      </w:rPr>
    </w:lvl>
  </w:abstractNum>
  <w:abstractNum w:abstractNumId="5">
    <w:nsid w:val="348C1C5A"/>
    <w:multiLevelType w:val="hybridMultilevel"/>
    <w:tmpl w:val="C01A60EC"/>
    <w:lvl w:ilvl="0" w:tplc="CE008A1A">
      <w:start w:val="1"/>
      <w:numFmt w:val="decimal"/>
      <w:lvlText w:val="%1)"/>
      <w:lvlJc w:val="left"/>
      <w:pPr>
        <w:ind w:left="813" w:hanging="703"/>
        <w:jc w:val="left"/>
      </w:pPr>
      <w:rPr>
        <w:rFonts w:hint="default"/>
        <w:spacing w:val="0"/>
        <w:lang w:val="ru-RU" w:eastAsia="en-US" w:bidi="ar-SA"/>
      </w:rPr>
    </w:lvl>
    <w:lvl w:ilvl="1" w:tplc="85C43D6E">
      <w:numFmt w:val="bullet"/>
      <w:lvlText w:val="•"/>
      <w:lvlJc w:val="left"/>
      <w:pPr>
        <w:ind w:left="1823" w:hanging="703"/>
      </w:pPr>
      <w:rPr>
        <w:rFonts w:hint="default"/>
        <w:lang w:val="ru-RU" w:eastAsia="en-US" w:bidi="ar-SA"/>
      </w:rPr>
    </w:lvl>
    <w:lvl w:ilvl="2" w:tplc="355EDC62">
      <w:numFmt w:val="bullet"/>
      <w:lvlText w:val="•"/>
      <w:lvlJc w:val="left"/>
      <w:pPr>
        <w:ind w:left="2827" w:hanging="703"/>
      </w:pPr>
      <w:rPr>
        <w:rFonts w:hint="default"/>
        <w:lang w:val="ru-RU" w:eastAsia="en-US" w:bidi="ar-SA"/>
      </w:rPr>
    </w:lvl>
    <w:lvl w:ilvl="3" w:tplc="3F3C66DC">
      <w:numFmt w:val="bullet"/>
      <w:lvlText w:val="•"/>
      <w:lvlJc w:val="left"/>
      <w:pPr>
        <w:ind w:left="3830" w:hanging="703"/>
      </w:pPr>
      <w:rPr>
        <w:rFonts w:hint="default"/>
        <w:lang w:val="ru-RU" w:eastAsia="en-US" w:bidi="ar-SA"/>
      </w:rPr>
    </w:lvl>
    <w:lvl w:ilvl="4" w:tplc="6140676E">
      <w:numFmt w:val="bullet"/>
      <w:lvlText w:val="•"/>
      <w:lvlJc w:val="left"/>
      <w:pPr>
        <w:ind w:left="4834" w:hanging="703"/>
      </w:pPr>
      <w:rPr>
        <w:rFonts w:hint="default"/>
        <w:lang w:val="ru-RU" w:eastAsia="en-US" w:bidi="ar-SA"/>
      </w:rPr>
    </w:lvl>
    <w:lvl w:ilvl="5" w:tplc="589E0300">
      <w:numFmt w:val="bullet"/>
      <w:lvlText w:val="•"/>
      <w:lvlJc w:val="left"/>
      <w:pPr>
        <w:ind w:left="5837" w:hanging="703"/>
      </w:pPr>
      <w:rPr>
        <w:rFonts w:hint="default"/>
        <w:lang w:val="ru-RU" w:eastAsia="en-US" w:bidi="ar-SA"/>
      </w:rPr>
    </w:lvl>
    <w:lvl w:ilvl="6" w:tplc="8D4E6EEE">
      <w:numFmt w:val="bullet"/>
      <w:lvlText w:val="•"/>
      <w:lvlJc w:val="left"/>
      <w:pPr>
        <w:ind w:left="6841" w:hanging="703"/>
      </w:pPr>
      <w:rPr>
        <w:rFonts w:hint="default"/>
        <w:lang w:val="ru-RU" w:eastAsia="en-US" w:bidi="ar-SA"/>
      </w:rPr>
    </w:lvl>
    <w:lvl w:ilvl="7" w:tplc="0DCE00C4">
      <w:numFmt w:val="bullet"/>
      <w:lvlText w:val="•"/>
      <w:lvlJc w:val="left"/>
      <w:pPr>
        <w:ind w:left="7844" w:hanging="703"/>
      </w:pPr>
      <w:rPr>
        <w:rFonts w:hint="default"/>
        <w:lang w:val="ru-RU" w:eastAsia="en-US" w:bidi="ar-SA"/>
      </w:rPr>
    </w:lvl>
    <w:lvl w:ilvl="8" w:tplc="CB80924E">
      <w:numFmt w:val="bullet"/>
      <w:lvlText w:val="•"/>
      <w:lvlJc w:val="left"/>
      <w:pPr>
        <w:ind w:left="8848" w:hanging="703"/>
      </w:pPr>
      <w:rPr>
        <w:rFonts w:hint="default"/>
        <w:lang w:val="ru-RU" w:eastAsia="en-US" w:bidi="ar-SA"/>
      </w:rPr>
    </w:lvl>
  </w:abstractNum>
  <w:abstractNum w:abstractNumId="6">
    <w:nsid w:val="428A6C10"/>
    <w:multiLevelType w:val="hybridMultilevel"/>
    <w:tmpl w:val="D00AC2CA"/>
    <w:lvl w:ilvl="0" w:tplc="4C189D42">
      <w:start w:val="1"/>
      <w:numFmt w:val="decimal"/>
      <w:lvlText w:val="%1)"/>
      <w:lvlJc w:val="left"/>
      <w:pPr>
        <w:ind w:left="819" w:hanging="564"/>
        <w:jc w:val="left"/>
      </w:pPr>
      <w:rPr>
        <w:rFonts w:hint="default"/>
        <w:spacing w:val="0"/>
        <w:lang w:val="ru-RU" w:eastAsia="en-US" w:bidi="ar-SA"/>
      </w:rPr>
    </w:lvl>
    <w:lvl w:ilvl="1" w:tplc="5A3E86B6">
      <w:numFmt w:val="bullet"/>
      <w:lvlText w:val="•"/>
      <w:lvlJc w:val="left"/>
      <w:pPr>
        <w:ind w:left="1823" w:hanging="564"/>
      </w:pPr>
      <w:rPr>
        <w:rFonts w:hint="default"/>
        <w:lang w:val="ru-RU" w:eastAsia="en-US" w:bidi="ar-SA"/>
      </w:rPr>
    </w:lvl>
    <w:lvl w:ilvl="2" w:tplc="6AEA042C">
      <w:numFmt w:val="bullet"/>
      <w:lvlText w:val="•"/>
      <w:lvlJc w:val="left"/>
      <w:pPr>
        <w:ind w:left="2827" w:hanging="564"/>
      </w:pPr>
      <w:rPr>
        <w:rFonts w:hint="default"/>
        <w:lang w:val="ru-RU" w:eastAsia="en-US" w:bidi="ar-SA"/>
      </w:rPr>
    </w:lvl>
    <w:lvl w:ilvl="3" w:tplc="63FE6986">
      <w:numFmt w:val="bullet"/>
      <w:lvlText w:val="•"/>
      <w:lvlJc w:val="left"/>
      <w:pPr>
        <w:ind w:left="3830" w:hanging="564"/>
      </w:pPr>
      <w:rPr>
        <w:rFonts w:hint="default"/>
        <w:lang w:val="ru-RU" w:eastAsia="en-US" w:bidi="ar-SA"/>
      </w:rPr>
    </w:lvl>
    <w:lvl w:ilvl="4" w:tplc="A3904966">
      <w:numFmt w:val="bullet"/>
      <w:lvlText w:val="•"/>
      <w:lvlJc w:val="left"/>
      <w:pPr>
        <w:ind w:left="4834" w:hanging="564"/>
      </w:pPr>
      <w:rPr>
        <w:rFonts w:hint="default"/>
        <w:lang w:val="ru-RU" w:eastAsia="en-US" w:bidi="ar-SA"/>
      </w:rPr>
    </w:lvl>
    <w:lvl w:ilvl="5" w:tplc="1EBEC0C4">
      <w:numFmt w:val="bullet"/>
      <w:lvlText w:val="•"/>
      <w:lvlJc w:val="left"/>
      <w:pPr>
        <w:ind w:left="5837" w:hanging="564"/>
      </w:pPr>
      <w:rPr>
        <w:rFonts w:hint="default"/>
        <w:lang w:val="ru-RU" w:eastAsia="en-US" w:bidi="ar-SA"/>
      </w:rPr>
    </w:lvl>
    <w:lvl w:ilvl="6" w:tplc="A7502996">
      <w:numFmt w:val="bullet"/>
      <w:lvlText w:val="•"/>
      <w:lvlJc w:val="left"/>
      <w:pPr>
        <w:ind w:left="6841" w:hanging="564"/>
      </w:pPr>
      <w:rPr>
        <w:rFonts w:hint="default"/>
        <w:lang w:val="ru-RU" w:eastAsia="en-US" w:bidi="ar-SA"/>
      </w:rPr>
    </w:lvl>
    <w:lvl w:ilvl="7" w:tplc="DA1E6876">
      <w:numFmt w:val="bullet"/>
      <w:lvlText w:val="•"/>
      <w:lvlJc w:val="left"/>
      <w:pPr>
        <w:ind w:left="7844" w:hanging="564"/>
      </w:pPr>
      <w:rPr>
        <w:rFonts w:hint="default"/>
        <w:lang w:val="ru-RU" w:eastAsia="en-US" w:bidi="ar-SA"/>
      </w:rPr>
    </w:lvl>
    <w:lvl w:ilvl="8" w:tplc="D2FCB02E">
      <w:numFmt w:val="bullet"/>
      <w:lvlText w:val="•"/>
      <w:lvlJc w:val="left"/>
      <w:pPr>
        <w:ind w:left="8848" w:hanging="564"/>
      </w:pPr>
      <w:rPr>
        <w:rFonts w:hint="default"/>
        <w:lang w:val="ru-RU" w:eastAsia="en-US" w:bidi="ar-SA"/>
      </w:rPr>
    </w:lvl>
  </w:abstractNum>
  <w:abstractNum w:abstractNumId="7">
    <w:nsid w:val="50E63B90"/>
    <w:multiLevelType w:val="hybridMultilevel"/>
    <w:tmpl w:val="91EC88BC"/>
    <w:lvl w:ilvl="0" w:tplc="0534EB50">
      <w:start w:val="1"/>
      <w:numFmt w:val="decimal"/>
      <w:lvlText w:val="%1)"/>
      <w:lvlJc w:val="left"/>
      <w:pPr>
        <w:ind w:left="716" w:hanging="569"/>
        <w:jc w:val="right"/>
      </w:pPr>
      <w:rPr>
        <w:rFonts w:hint="default"/>
        <w:spacing w:val="0"/>
        <w:lang w:val="ru-RU" w:eastAsia="en-US" w:bidi="ar-SA"/>
      </w:rPr>
    </w:lvl>
    <w:lvl w:ilvl="1" w:tplc="DD12862C">
      <w:numFmt w:val="bullet"/>
      <w:lvlText w:val="•"/>
      <w:lvlJc w:val="left"/>
      <w:pPr>
        <w:ind w:left="1733" w:hanging="569"/>
      </w:pPr>
      <w:rPr>
        <w:rFonts w:hint="default"/>
        <w:lang w:val="ru-RU" w:eastAsia="en-US" w:bidi="ar-SA"/>
      </w:rPr>
    </w:lvl>
    <w:lvl w:ilvl="2" w:tplc="D8C0FACE">
      <w:numFmt w:val="bullet"/>
      <w:lvlText w:val="•"/>
      <w:lvlJc w:val="left"/>
      <w:pPr>
        <w:ind w:left="2747" w:hanging="569"/>
      </w:pPr>
      <w:rPr>
        <w:rFonts w:hint="default"/>
        <w:lang w:val="ru-RU" w:eastAsia="en-US" w:bidi="ar-SA"/>
      </w:rPr>
    </w:lvl>
    <w:lvl w:ilvl="3" w:tplc="5D946498">
      <w:numFmt w:val="bullet"/>
      <w:lvlText w:val="•"/>
      <w:lvlJc w:val="left"/>
      <w:pPr>
        <w:ind w:left="3760" w:hanging="569"/>
      </w:pPr>
      <w:rPr>
        <w:rFonts w:hint="default"/>
        <w:lang w:val="ru-RU" w:eastAsia="en-US" w:bidi="ar-SA"/>
      </w:rPr>
    </w:lvl>
    <w:lvl w:ilvl="4" w:tplc="95F21180">
      <w:numFmt w:val="bullet"/>
      <w:lvlText w:val="•"/>
      <w:lvlJc w:val="left"/>
      <w:pPr>
        <w:ind w:left="4774" w:hanging="569"/>
      </w:pPr>
      <w:rPr>
        <w:rFonts w:hint="default"/>
        <w:lang w:val="ru-RU" w:eastAsia="en-US" w:bidi="ar-SA"/>
      </w:rPr>
    </w:lvl>
    <w:lvl w:ilvl="5" w:tplc="B28E81F2">
      <w:numFmt w:val="bullet"/>
      <w:lvlText w:val="•"/>
      <w:lvlJc w:val="left"/>
      <w:pPr>
        <w:ind w:left="5787" w:hanging="569"/>
      </w:pPr>
      <w:rPr>
        <w:rFonts w:hint="default"/>
        <w:lang w:val="ru-RU" w:eastAsia="en-US" w:bidi="ar-SA"/>
      </w:rPr>
    </w:lvl>
    <w:lvl w:ilvl="6" w:tplc="8D6AC202">
      <w:numFmt w:val="bullet"/>
      <w:lvlText w:val="•"/>
      <w:lvlJc w:val="left"/>
      <w:pPr>
        <w:ind w:left="6801" w:hanging="569"/>
      </w:pPr>
      <w:rPr>
        <w:rFonts w:hint="default"/>
        <w:lang w:val="ru-RU" w:eastAsia="en-US" w:bidi="ar-SA"/>
      </w:rPr>
    </w:lvl>
    <w:lvl w:ilvl="7" w:tplc="5184BC9C">
      <w:numFmt w:val="bullet"/>
      <w:lvlText w:val="•"/>
      <w:lvlJc w:val="left"/>
      <w:pPr>
        <w:ind w:left="7814" w:hanging="569"/>
      </w:pPr>
      <w:rPr>
        <w:rFonts w:hint="default"/>
        <w:lang w:val="ru-RU" w:eastAsia="en-US" w:bidi="ar-SA"/>
      </w:rPr>
    </w:lvl>
    <w:lvl w:ilvl="8" w:tplc="250EE338">
      <w:numFmt w:val="bullet"/>
      <w:lvlText w:val="•"/>
      <w:lvlJc w:val="left"/>
      <w:pPr>
        <w:ind w:left="8828" w:hanging="569"/>
      </w:pPr>
      <w:rPr>
        <w:rFonts w:hint="default"/>
        <w:lang w:val="ru-RU" w:eastAsia="en-US" w:bidi="ar-SA"/>
      </w:rPr>
    </w:lvl>
  </w:abstractNum>
  <w:abstractNum w:abstractNumId="8">
    <w:nsid w:val="6FE7423E"/>
    <w:multiLevelType w:val="hybridMultilevel"/>
    <w:tmpl w:val="FA24E4A0"/>
    <w:lvl w:ilvl="0" w:tplc="85801C32">
      <w:start w:val="1"/>
      <w:numFmt w:val="decimal"/>
      <w:lvlText w:val="%1)"/>
      <w:lvlJc w:val="left"/>
      <w:pPr>
        <w:ind w:left="716" w:hanging="569"/>
        <w:jc w:val="right"/>
      </w:pPr>
      <w:rPr>
        <w:rFonts w:hint="default"/>
        <w:spacing w:val="0"/>
        <w:lang w:val="ru-RU" w:eastAsia="en-US" w:bidi="ar-SA"/>
      </w:rPr>
    </w:lvl>
    <w:lvl w:ilvl="1" w:tplc="1AA0CAD8">
      <w:numFmt w:val="bullet"/>
      <w:lvlText w:val="•"/>
      <w:lvlJc w:val="left"/>
      <w:pPr>
        <w:ind w:left="1733" w:hanging="569"/>
      </w:pPr>
      <w:rPr>
        <w:rFonts w:hint="default"/>
        <w:lang w:val="ru-RU" w:eastAsia="en-US" w:bidi="ar-SA"/>
      </w:rPr>
    </w:lvl>
    <w:lvl w:ilvl="2" w:tplc="4DF4086E">
      <w:numFmt w:val="bullet"/>
      <w:lvlText w:val="•"/>
      <w:lvlJc w:val="left"/>
      <w:pPr>
        <w:ind w:left="2747" w:hanging="569"/>
      </w:pPr>
      <w:rPr>
        <w:rFonts w:hint="default"/>
        <w:lang w:val="ru-RU" w:eastAsia="en-US" w:bidi="ar-SA"/>
      </w:rPr>
    </w:lvl>
    <w:lvl w:ilvl="3" w:tplc="A15A92A2">
      <w:numFmt w:val="bullet"/>
      <w:lvlText w:val="•"/>
      <w:lvlJc w:val="left"/>
      <w:pPr>
        <w:ind w:left="3760" w:hanging="569"/>
      </w:pPr>
      <w:rPr>
        <w:rFonts w:hint="default"/>
        <w:lang w:val="ru-RU" w:eastAsia="en-US" w:bidi="ar-SA"/>
      </w:rPr>
    </w:lvl>
    <w:lvl w:ilvl="4" w:tplc="E000F948">
      <w:numFmt w:val="bullet"/>
      <w:lvlText w:val="•"/>
      <w:lvlJc w:val="left"/>
      <w:pPr>
        <w:ind w:left="4774" w:hanging="569"/>
      </w:pPr>
      <w:rPr>
        <w:rFonts w:hint="default"/>
        <w:lang w:val="ru-RU" w:eastAsia="en-US" w:bidi="ar-SA"/>
      </w:rPr>
    </w:lvl>
    <w:lvl w:ilvl="5" w:tplc="DDBE7E8A">
      <w:numFmt w:val="bullet"/>
      <w:lvlText w:val="•"/>
      <w:lvlJc w:val="left"/>
      <w:pPr>
        <w:ind w:left="5787" w:hanging="569"/>
      </w:pPr>
      <w:rPr>
        <w:rFonts w:hint="default"/>
        <w:lang w:val="ru-RU" w:eastAsia="en-US" w:bidi="ar-SA"/>
      </w:rPr>
    </w:lvl>
    <w:lvl w:ilvl="6" w:tplc="DA688670">
      <w:numFmt w:val="bullet"/>
      <w:lvlText w:val="•"/>
      <w:lvlJc w:val="left"/>
      <w:pPr>
        <w:ind w:left="6801" w:hanging="569"/>
      </w:pPr>
      <w:rPr>
        <w:rFonts w:hint="default"/>
        <w:lang w:val="ru-RU" w:eastAsia="en-US" w:bidi="ar-SA"/>
      </w:rPr>
    </w:lvl>
    <w:lvl w:ilvl="7" w:tplc="D74623BA">
      <w:numFmt w:val="bullet"/>
      <w:lvlText w:val="•"/>
      <w:lvlJc w:val="left"/>
      <w:pPr>
        <w:ind w:left="7814" w:hanging="569"/>
      </w:pPr>
      <w:rPr>
        <w:rFonts w:hint="default"/>
        <w:lang w:val="ru-RU" w:eastAsia="en-US" w:bidi="ar-SA"/>
      </w:rPr>
    </w:lvl>
    <w:lvl w:ilvl="8" w:tplc="04F6D3A8">
      <w:numFmt w:val="bullet"/>
      <w:lvlText w:val="•"/>
      <w:lvlJc w:val="left"/>
      <w:pPr>
        <w:ind w:left="8828" w:hanging="569"/>
      </w:pPr>
      <w:rPr>
        <w:rFonts w:hint="default"/>
        <w:lang w:val="ru-RU" w:eastAsia="en-US" w:bidi="ar-SA"/>
      </w:rPr>
    </w:lvl>
  </w:abstractNum>
  <w:abstractNum w:abstractNumId="9">
    <w:nsid w:val="7201503D"/>
    <w:multiLevelType w:val="hybridMultilevel"/>
    <w:tmpl w:val="168C3E88"/>
    <w:lvl w:ilvl="0" w:tplc="728CF46A">
      <w:start w:val="1"/>
      <w:numFmt w:val="decimal"/>
      <w:lvlText w:val="%1)"/>
      <w:lvlJc w:val="left"/>
      <w:pPr>
        <w:ind w:left="811" w:hanging="708"/>
        <w:jc w:val="right"/>
      </w:pPr>
      <w:rPr>
        <w:rFonts w:hint="default"/>
        <w:spacing w:val="0"/>
        <w:lang w:val="ru-RU" w:eastAsia="en-US" w:bidi="ar-SA"/>
      </w:rPr>
    </w:lvl>
    <w:lvl w:ilvl="1" w:tplc="3A8A0A14">
      <w:numFmt w:val="bullet"/>
      <w:lvlText w:val="•"/>
      <w:lvlJc w:val="left"/>
      <w:pPr>
        <w:ind w:left="1823" w:hanging="708"/>
      </w:pPr>
      <w:rPr>
        <w:rFonts w:hint="default"/>
        <w:lang w:val="ru-RU" w:eastAsia="en-US" w:bidi="ar-SA"/>
      </w:rPr>
    </w:lvl>
    <w:lvl w:ilvl="2" w:tplc="DEE6AD0C">
      <w:numFmt w:val="bullet"/>
      <w:lvlText w:val="•"/>
      <w:lvlJc w:val="left"/>
      <w:pPr>
        <w:ind w:left="2827" w:hanging="708"/>
      </w:pPr>
      <w:rPr>
        <w:rFonts w:hint="default"/>
        <w:lang w:val="ru-RU" w:eastAsia="en-US" w:bidi="ar-SA"/>
      </w:rPr>
    </w:lvl>
    <w:lvl w:ilvl="3" w:tplc="31304F1A">
      <w:numFmt w:val="bullet"/>
      <w:lvlText w:val="•"/>
      <w:lvlJc w:val="left"/>
      <w:pPr>
        <w:ind w:left="3830" w:hanging="708"/>
      </w:pPr>
      <w:rPr>
        <w:rFonts w:hint="default"/>
        <w:lang w:val="ru-RU" w:eastAsia="en-US" w:bidi="ar-SA"/>
      </w:rPr>
    </w:lvl>
    <w:lvl w:ilvl="4" w:tplc="01D82742">
      <w:numFmt w:val="bullet"/>
      <w:lvlText w:val="•"/>
      <w:lvlJc w:val="left"/>
      <w:pPr>
        <w:ind w:left="4834" w:hanging="708"/>
      </w:pPr>
      <w:rPr>
        <w:rFonts w:hint="default"/>
        <w:lang w:val="ru-RU" w:eastAsia="en-US" w:bidi="ar-SA"/>
      </w:rPr>
    </w:lvl>
    <w:lvl w:ilvl="5" w:tplc="59C8A8C0">
      <w:numFmt w:val="bullet"/>
      <w:lvlText w:val="•"/>
      <w:lvlJc w:val="left"/>
      <w:pPr>
        <w:ind w:left="5837" w:hanging="708"/>
      </w:pPr>
      <w:rPr>
        <w:rFonts w:hint="default"/>
        <w:lang w:val="ru-RU" w:eastAsia="en-US" w:bidi="ar-SA"/>
      </w:rPr>
    </w:lvl>
    <w:lvl w:ilvl="6" w:tplc="722A369C">
      <w:numFmt w:val="bullet"/>
      <w:lvlText w:val="•"/>
      <w:lvlJc w:val="left"/>
      <w:pPr>
        <w:ind w:left="6841" w:hanging="708"/>
      </w:pPr>
      <w:rPr>
        <w:rFonts w:hint="default"/>
        <w:lang w:val="ru-RU" w:eastAsia="en-US" w:bidi="ar-SA"/>
      </w:rPr>
    </w:lvl>
    <w:lvl w:ilvl="7" w:tplc="8F343A50">
      <w:numFmt w:val="bullet"/>
      <w:lvlText w:val="•"/>
      <w:lvlJc w:val="left"/>
      <w:pPr>
        <w:ind w:left="7844" w:hanging="708"/>
      </w:pPr>
      <w:rPr>
        <w:rFonts w:hint="default"/>
        <w:lang w:val="ru-RU" w:eastAsia="en-US" w:bidi="ar-SA"/>
      </w:rPr>
    </w:lvl>
    <w:lvl w:ilvl="8" w:tplc="8910C2D8">
      <w:numFmt w:val="bullet"/>
      <w:lvlText w:val="•"/>
      <w:lvlJc w:val="left"/>
      <w:pPr>
        <w:ind w:left="8848" w:hanging="708"/>
      </w:pPr>
      <w:rPr>
        <w:rFonts w:hint="default"/>
        <w:lang w:val="ru-RU" w:eastAsia="en-US" w:bidi="ar-SA"/>
      </w:rPr>
    </w:lvl>
  </w:abstractNum>
  <w:num w:numId="1">
    <w:abstractNumId w:val="0"/>
  </w:num>
  <w:num w:numId="2">
    <w:abstractNumId w:val="7"/>
  </w:num>
  <w:num w:numId="3">
    <w:abstractNumId w:val="4"/>
  </w:num>
  <w:num w:numId="4">
    <w:abstractNumId w:val="5"/>
  </w:num>
  <w:num w:numId="5">
    <w:abstractNumId w:val="3"/>
  </w:num>
  <w:num w:numId="6">
    <w:abstractNumId w:val="1"/>
  </w:num>
  <w:num w:numId="7">
    <w:abstractNumId w:val="9"/>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FE"/>
    <w:rsid w:val="001A32FE"/>
    <w:rsid w:val="009D13E8"/>
    <w:rsid w:val="00A4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a">
    <w:name w:val="Body Text"/>
    <w:basedOn w:val="a"/>
    <w:uiPriority w:val="1"/>
    <w:qFormat/>
    <w:pPr>
      <w:jc w:val="both"/>
    </w:pPr>
    <w:rPr>
      <w:sz w:val="28"/>
      <w:szCs w:val="28"/>
    </w:rPr>
  </w:style>
  <w:style w:type="paragraph" w:styleId="afb">
    <w:name w:val="List Paragraph"/>
    <w:basedOn w:val="a"/>
    <w:uiPriority w:val="1"/>
    <w:qFormat/>
    <w:pPr>
      <w:ind w:left="802" w:hanging="565"/>
      <w:jc w:val="both"/>
    </w:pPr>
  </w:style>
  <w:style w:type="paragraph" w:customStyle="1" w:styleId="TableParagraph">
    <w:name w:val="Table Paragraph"/>
    <w:basedOn w:val="a"/>
    <w:uiPriority w:val="1"/>
    <w:qFormat/>
    <w:pPr>
      <w:spacing w:line="302" w:lineRule="exact"/>
      <w:ind w:right="78"/>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a">
    <w:name w:val="Body Text"/>
    <w:basedOn w:val="a"/>
    <w:uiPriority w:val="1"/>
    <w:qFormat/>
    <w:pPr>
      <w:jc w:val="both"/>
    </w:pPr>
    <w:rPr>
      <w:sz w:val="28"/>
      <w:szCs w:val="28"/>
    </w:rPr>
  </w:style>
  <w:style w:type="paragraph" w:styleId="afb">
    <w:name w:val="List Paragraph"/>
    <w:basedOn w:val="a"/>
    <w:uiPriority w:val="1"/>
    <w:qFormat/>
    <w:pPr>
      <w:ind w:left="802" w:hanging="565"/>
      <w:jc w:val="both"/>
    </w:pPr>
  </w:style>
  <w:style w:type="paragraph" w:customStyle="1" w:styleId="TableParagraph">
    <w:name w:val="Table Paragraph"/>
    <w:basedOn w:val="a"/>
    <w:uiPriority w:val="1"/>
    <w:qFormat/>
    <w:pPr>
      <w:spacing w:line="302" w:lineRule="exact"/>
      <w:ind w:right="7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1857</Words>
  <Characters>10590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User11</cp:lastModifiedBy>
  <cp:revision>2</cp:revision>
  <dcterms:created xsi:type="dcterms:W3CDTF">2026-06-16T14:01:00Z</dcterms:created>
  <dcterms:modified xsi:type="dcterms:W3CDTF">2026-06-16T14:01:00Z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2026-06-09T00:00:00Z</vt:filetime>
  </property>
  <property fmtid="{D5CDD505-2E9C-101B-9397-08002B2CF9AE}" pid="3" name="LastSaved">
    <vt:filetime>2026-06-09T00:00:00Z</vt:filetime>
  </property>
</Properties>
</file>